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DC1" w:rsidRDefault="003A2DC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p w:rsidR="003A2DC1" w:rsidRDefault="003A2DC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  <w:bookmarkStart w:id="0" w:name="_gjdgxs" w:colFirst="0" w:colLast="0"/>
      <w:bookmarkEnd w:id="0"/>
    </w:p>
    <w:p w:rsidR="003A2DC1" w:rsidRDefault="004E5226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after="0"/>
        <w:rPr>
          <w:rFonts w:ascii="Arial" w:eastAsia="Arial" w:hAnsi="Arial" w:cs="Arial"/>
          <w:b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3GPP TSG-SA3 Meeting #</w:t>
      </w:r>
      <w:r>
        <w:rPr>
          <w:rFonts w:ascii="Arial" w:eastAsia="Arial" w:hAnsi="Arial" w:cs="Arial"/>
          <w:b/>
          <w:sz w:val="24"/>
          <w:szCs w:val="24"/>
        </w:rPr>
        <w:t>117</w:t>
      </w:r>
      <w:r>
        <w:rPr>
          <w:rFonts w:ascii="Arial" w:eastAsia="Arial" w:hAnsi="Arial" w:cs="Arial"/>
          <w:b/>
          <w:i/>
          <w:color w:val="000000"/>
          <w:sz w:val="28"/>
          <w:szCs w:val="28"/>
        </w:rPr>
        <w:tab/>
      </w:r>
      <w:r w:rsidRPr="003925FE">
        <w:rPr>
          <w:rFonts w:ascii="Arial" w:eastAsia="Arial" w:hAnsi="Arial" w:cs="Arial"/>
        </w:rPr>
        <w:t xml:space="preserve">     </w:t>
      </w:r>
      <w:r w:rsidRPr="003925FE">
        <w:rPr>
          <w:rFonts w:ascii="Arial" w:eastAsia="Arial" w:hAnsi="Arial" w:cs="Arial"/>
          <w:b/>
          <w:sz w:val="24"/>
          <w:szCs w:val="24"/>
        </w:rPr>
        <w:t>S3-243</w:t>
      </w:r>
      <w:r>
        <w:rPr>
          <w:rFonts w:ascii="Arial" w:eastAsia="Arial" w:hAnsi="Arial" w:cs="Arial"/>
          <w:b/>
          <w:sz w:val="24"/>
          <w:szCs w:val="24"/>
        </w:rPr>
        <w:t>486</w:t>
      </w:r>
    </w:p>
    <w:p w:rsidR="003A2DC1" w:rsidRPr="003925FE" w:rsidRDefault="004E5226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spacing w:after="120"/>
        <w:ind w:right="9"/>
      </w:pPr>
      <w:r>
        <w:rPr>
          <w:rFonts w:ascii="Arial" w:eastAsia="Arial" w:hAnsi="Arial" w:cs="Arial"/>
          <w:b/>
          <w:sz w:val="24"/>
          <w:szCs w:val="24"/>
        </w:rPr>
        <w:t>Maastricht, Netherlands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19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– </w:t>
      </w:r>
      <w:r>
        <w:rPr>
          <w:rFonts w:ascii="Arial" w:eastAsia="Arial" w:hAnsi="Arial" w:cs="Arial"/>
          <w:b/>
          <w:sz w:val="24"/>
          <w:szCs w:val="24"/>
        </w:rPr>
        <w:t>23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August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2024</w:t>
      </w:r>
      <w:r>
        <w:rPr>
          <w:rFonts w:ascii="Arial" w:eastAsia="Arial" w:hAnsi="Arial" w:cs="Arial"/>
          <w:b/>
          <w:sz w:val="24"/>
          <w:szCs w:val="24"/>
        </w:rPr>
        <w:t xml:space="preserve">                           </w:t>
      </w:r>
    </w:p>
    <w:p w:rsidR="003A2DC1" w:rsidRDefault="003A2DC1">
      <w:pPr>
        <w:keepNext/>
        <w:pBdr>
          <w:bottom w:val="single" w:sz="4" w:space="1" w:color="000000"/>
        </w:pBdr>
        <w:tabs>
          <w:tab w:val="right" w:pos="9639"/>
        </w:tabs>
        <w:rPr>
          <w:rFonts w:ascii="Arial" w:eastAsia="Arial" w:hAnsi="Arial" w:cs="Arial"/>
          <w:b/>
          <w:sz w:val="24"/>
          <w:szCs w:val="24"/>
        </w:rPr>
      </w:pPr>
    </w:p>
    <w:p w:rsidR="003A2DC1" w:rsidRDefault="004E5226">
      <w:pPr>
        <w:keepNext/>
        <w:tabs>
          <w:tab w:val="left" w:pos="2127"/>
        </w:tabs>
        <w:spacing w:after="0"/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Source:</w:t>
      </w:r>
      <w:r>
        <w:rPr>
          <w:rFonts w:ascii="Arial" w:eastAsia="Arial" w:hAnsi="Arial" w:cs="Arial"/>
          <w:b/>
        </w:rPr>
        <w:tab/>
        <w:t>Google, John Hopkins University APL</w:t>
      </w:r>
      <w:r>
        <w:rPr>
          <w:rFonts w:ascii="Arial" w:eastAsia="Arial" w:hAnsi="Arial" w:cs="Arial"/>
          <w:b/>
        </w:rPr>
        <w:t>, Cisco Systems</w:t>
      </w:r>
      <w:r>
        <w:rPr>
          <w:rFonts w:ascii="Arial" w:eastAsia="Arial" w:hAnsi="Arial" w:cs="Arial"/>
          <w:b/>
        </w:rPr>
        <w:t>, US National Security Agency</w:t>
      </w:r>
    </w:p>
    <w:p w:rsidR="003A2DC1" w:rsidRDefault="004E5226">
      <w:pPr>
        <w:keepNext/>
        <w:tabs>
          <w:tab w:val="left" w:pos="2127"/>
        </w:tabs>
        <w:spacing w:after="0"/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Title:</w:t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 xml:space="preserve">Proposed solution for certificate enrolment </w:t>
      </w:r>
    </w:p>
    <w:p w:rsidR="003A2DC1" w:rsidRDefault="004E5226">
      <w:pPr>
        <w:keepNext/>
        <w:tabs>
          <w:tab w:val="left" w:pos="2127"/>
        </w:tabs>
        <w:spacing w:after="0"/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Document for:</w:t>
      </w:r>
      <w:r>
        <w:rPr>
          <w:rFonts w:ascii="Arial" w:eastAsia="Arial" w:hAnsi="Arial" w:cs="Arial"/>
          <w:b/>
        </w:rPr>
        <w:tab/>
        <w:t>Approval</w:t>
      </w:r>
    </w:p>
    <w:p w:rsidR="003A2DC1" w:rsidRDefault="004E5226">
      <w:pPr>
        <w:keepNext/>
        <w:pBdr>
          <w:bottom w:val="single" w:sz="4" w:space="1" w:color="000000"/>
        </w:pBdr>
        <w:tabs>
          <w:tab w:val="left" w:pos="2127"/>
        </w:tabs>
        <w:spacing w:after="0"/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Agenda Item:</w:t>
      </w:r>
      <w:r>
        <w:rPr>
          <w:rFonts w:ascii="Arial" w:eastAsia="Arial" w:hAnsi="Arial" w:cs="Arial"/>
          <w:b/>
        </w:rPr>
        <w:tab/>
        <w:t>5.4</w:t>
      </w:r>
    </w:p>
    <w:p w:rsidR="003A2DC1" w:rsidRDefault="004E5226">
      <w:pPr>
        <w:pStyle w:val="Heading1"/>
      </w:pPr>
      <w:r>
        <w:t>1</w:t>
      </w:r>
      <w:r>
        <w:tab/>
        <w:t>Decision/action requested</w:t>
      </w:r>
    </w:p>
    <w:p w:rsidR="003A2DC1" w:rsidRDefault="004E522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Approval of a new solution to address KI#4 in TR 33.776.</w:t>
      </w:r>
    </w:p>
    <w:p w:rsidR="003A2DC1" w:rsidRDefault="004E5226">
      <w:pPr>
        <w:pStyle w:val="Heading1"/>
      </w:pPr>
      <w:r>
        <w:t>2</w:t>
      </w:r>
      <w:r>
        <w:tab/>
        <w:t>References</w:t>
      </w:r>
    </w:p>
    <w:p w:rsidR="003A2DC1" w:rsidRPr="003925FE" w:rsidRDefault="004E5226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851"/>
        <w:rPr>
          <w:sz w:val="22"/>
          <w:szCs w:val="22"/>
        </w:rPr>
      </w:pPr>
      <w:r w:rsidRPr="003925FE">
        <w:rPr>
          <w:color w:val="000000"/>
          <w:sz w:val="22"/>
          <w:szCs w:val="22"/>
        </w:rPr>
        <w:t>[1]</w:t>
      </w:r>
      <w:r w:rsidRPr="003925FE">
        <w:rPr>
          <w:color w:val="000000"/>
          <w:sz w:val="22"/>
          <w:szCs w:val="22"/>
        </w:rPr>
        <w:tab/>
      </w:r>
      <w:r w:rsidRPr="003925FE">
        <w:rPr>
          <w:sz w:val="22"/>
          <w:szCs w:val="22"/>
        </w:rPr>
        <w:t>3GPP TR 33.776: “Study of ACME for Automated Certificate Management in SBA”</w:t>
      </w:r>
    </w:p>
    <w:p w:rsidR="003F4844" w:rsidRDefault="004E5226" w:rsidP="003F484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720" w:hanging="720"/>
        <w:rPr>
          <w:sz w:val="22"/>
          <w:szCs w:val="22"/>
        </w:rPr>
      </w:pPr>
      <w:r w:rsidRPr="003925FE">
        <w:rPr>
          <w:sz w:val="22"/>
          <w:szCs w:val="22"/>
        </w:rPr>
        <w:t>[2</w:t>
      </w:r>
      <w:r w:rsidRPr="003925FE">
        <w:rPr>
          <w:sz w:val="22"/>
          <w:szCs w:val="22"/>
        </w:rPr>
        <w:t>]</w:t>
      </w:r>
      <w:r w:rsidRPr="003925FE">
        <w:rPr>
          <w:sz w:val="22"/>
          <w:szCs w:val="22"/>
        </w:rPr>
        <w:tab/>
        <w:t>IETF RFC 8555: “Automatic Certificate Management Environment (ACME)”, 2019</w:t>
      </w:r>
      <w:r w:rsidRPr="003925FE">
        <w:rPr>
          <w:sz w:val="22"/>
          <w:szCs w:val="22"/>
        </w:rPr>
        <w:t>[</w:t>
      </w:r>
      <w:r w:rsidRPr="003925FE">
        <w:rPr>
          <w:sz w:val="22"/>
          <w:szCs w:val="22"/>
        </w:rPr>
        <w:t>3</w:t>
      </w:r>
      <w:r w:rsidRPr="003925FE">
        <w:rPr>
          <w:sz w:val="22"/>
          <w:szCs w:val="22"/>
        </w:rPr>
        <w:t>]</w:t>
      </w:r>
      <w:r w:rsidRPr="003925FE">
        <w:rPr>
          <w:sz w:val="22"/>
          <w:szCs w:val="22"/>
        </w:rPr>
        <w:tab/>
        <w:t>3GPP TS 33.310: “Network Domain Security (NDS); Authentication Framework (AF)”</w:t>
      </w:r>
    </w:p>
    <w:p w:rsidR="003A2DC1" w:rsidRPr="003925FE" w:rsidRDefault="004E5226" w:rsidP="003F484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720" w:hanging="720"/>
        <w:rPr>
          <w:sz w:val="22"/>
          <w:szCs w:val="22"/>
        </w:rPr>
      </w:pPr>
      <w:r w:rsidRPr="003925FE">
        <w:rPr>
          <w:sz w:val="22"/>
          <w:szCs w:val="22"/>
        </w:rPr>
        <w:t>[</w:t>
      </w:r>
      <w:r w:rsidRPr="003925FE">
        <w:rPr>
          <w:sz w:val="22"/>
          <w:szCs w:val="22"/>
        </w:rPr>
        <w:t>4</w:t>
      </w:r>
      <w:r w:rsidRPr="003925FE">
        <w:rPr>
          <w:sz w:val="22"/>
          <w:szCs w:val="22"/>
        </w:rPr>
        <w:t>]</w:t>
      </w:r>
      <w:r w:rsidRPr="003925FE">
        <w:rPr>
          <w:sz w:val="22"/>
          <w:szCs w:val="22"/>
        </w:rPr>
        <w:tab/>
        <w:t>TS 23.003 “Numbering, addressing and identification”, 2020</w:t>
      </w:r>
    </w:p>
    <w:p w:rsidR="003A2DC1" w:rsidRDefault="004E5226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851"/>
      </w:pPr>
      <w:r>
        <w:tab/>
      </w:r>
    </w:p>
    <w:p w:rsidR="003A2DC1" w:rsidRDefault="004E5226">
      <w:pPr>
        <w:pStyle w:val="Heading1"/>
      </w:pPr>
      <w:r>
        <w:t>3</w:t>
      </w:r>
      <w:r>
        <w:tab/>
        <w:t>Rationale</w:t>
      </w:r>
    </w:p>
    <w:p w:rsidR="003A2DC1" w:rsidRPr="003925FE" w:rsidRDefault="004E5226">
      <w:pPr>
        <w:rPr>
          <w:sz w:val="22"/>
          <w:szCs w:val="22"/>
        </w:rPr>
      </w:pPr>
      <w:r w:rsidRPr="003925FE">
        <w:rPr>
          <w:sz w:val="22"/>
          <w:szCs w:val="22"/>
        </w:rPr>
        <w:t>This contribution proposes a solution that addresses Key Issue #4 - Certificate enrolment, as defined in TR 33.776 [1]. The solution is based on use of the AC</w:t>
      </w:r>
      <w:r w:rsidRPr="003925FE">
        <w:rPr>
          <w:sz w:val="22"/>
          <w:szCs w:val="22"/>
        </w:rPr>
        <w:t>ME protocol, as defined in RFC 8555 [</w:t>
      </w:r>
      <w:r w:rsidRPr="003925FE">
        <w:rPr>
          <w:sz w:val="22"/>
          <w:szCs w:val="22"/>
        </w:rPr>
        <w:t>2</w:t>
      </w:r>
      <w:r w:rsidRPr="003925FE">
        <w:rPr>
          <w:sz w:val="22"/>
          <w:szCs w:val="22"/>
        </w:rPr>
        <w:t>].</w:t>
      </w:r>
    </w:p>
    <w:p w:rsidR="003A2DC1" w:rsidRDefault="004E5226">
      <w:pPr>
        <w:pStyle w:val="Heading1"/>
        <w:rPr>
          <w:sz w:val="24"/>
          <w:szCs w:val="24"/>
        </w:rPr>
      </w:pPr>
      <w:r>
        <w:t>4</w:t>
      </w:r>
      <w:r>
        <w:tab/>
        <w:t>Detailed proposal</w:t>
      </w:r>
    </w:p>
    <w:p w:rsidR="003A2DC1" w:rsidRDefault="004E5226">
      <w:pPr>
        <w:jc w:val="center"/>
        <w:rPr>
          <w:color w:val="4472C4"/>
          <w:sz w:val="24"/>
          <w:szCs w:val="24"/>
        </w:rPr>
      </w:pPr>
      <w:r>
        <w:rPr>
          <w:color w:val="4472C4"/>
          <w:sz w:val="24"/>
          <w:szCs w:val="24"/>
        </w:rPr>
        <w:t>***</w:t>
      </w:r>
      <w:r>
        <w:rPr>
          <w:color w:val="4472C4"/>
          <w:sz w:val="24"/>
          <w:szCs w:val="24"/>
        </w:rPr>
        <w:tab/>
        <w:t>BEGINNING OF CHANGES (all text new) ***</w:t>
      </w:r>
    </w:p>
    <w:p w:rsidR="003A2DC1" w:rsidRDefault="004E5226">
      <w:pPr>
        <w:pStyle w:val="Heading2"/>
      </w:pPr>
      <w:bookmarkStart w:id="1" w:name="_30j0zll" w:colFirst="0" w:colLast="0"/>
      <w:bookmarkEnd w:id="1"/>
      <w:r>
        <w:t>6.x</w:t>
      </w:r>
      <w:r>
        <w:tab/>
        <w:t xml:space="preserve">Solution #x: Using ACME protocol for certificate enrolment  </w:t>
      </w:r>
    </w:p>
    <w:p w:rsidR="003A2DC1" w:rsidRDefault="004E5226">
      <w:pPr>
        <w:pStyle w:val="Heading3"/>
      </w:pPr>
      <w:bookmarkStart w:id="2" w:name="_1fob9te" w:colFirst="0" w:colLast="0"/>
      <w:bookmarkEnd w:id="2"/>
      <w:r>
        <w:t>6.x.1</w:t>
      </w:r>
      <w:r>
        <w:tab/>
        <w:t>Introduction</w:t>
      </w:r>
    </w:p>
    <w:p w:rsidR="003A2DC1" w:rsidRPr="003925FE" w:rsidRDefault="004E5226">
      <w:pPr>
        <w:rPr>
          <w:sz w:val="22"/>
          <w:szCs w:val="22"/>
        </w:rPr>
      </w:pPr>
      <w:r w:rsidRPr="003925FE">
        <w:rPr>
          <w:sz w:val="22"/>
          <w:szCs w:val="22"/>
        </w:rPr>
        <w:t>This solution proposes to use the ACME protocol to address the req</w:t>
      </w:r>
      <w:r w:rsidRPr="003925FE">
        <w:rPr>
          <w:sz w:val="22"/>
          <w:szCs w:val="22"/>
        </w:rPr>
        <w:t>uirements in key issue KI#4 (Certificate enrolment)</w:t>
      </w:r>
      <w:r w:rsidRPr="003925FE">
        <w:rPr>
          <w:sz w:val="22"/>
          <w:szCs w:val="22"/>
        </w:rPr>
        <w:t xml:space="preserve">.                          </w:t>
      </w:r>
    </w:p>
    <w:p w:rsidR="003A2DC1" w:rsidRDefault="004E5226">
      <w:pPr>
        <w:pStyle w:val="Heading3"/>
      </w:pPr>
      <w:bookmarkStart w:id="3" w:name="_3znysh7" w:colFirst="0" w:colLast="0"/>
      <w:bookmarkEnd w:id="3"/>
      <w:r>
        <w:t>6.x.2</w:t>
      </w:r>
      <w:r>
        <w:tab/>
        <w:t>Solution details</w:t>
      </w:r>
    </w:p>
    <w:p w:rsidR="003A2DC1" w:rsidRDefault="004E5226">
      <w:pPr>
        <w:pStyle w:val="Heading4"/>
      </w:pPr>
      <w:bookmarkStart w:id="4" w:name="_2et92p0" w:colFirst="0" w:colLast="0"/>
      <w:bookmarkEnd w:id="4"/>
      <w:r>
        <w:t xml:space="preserve">6.x.2.1 </w:t>
      </w:r>
      <w:r>
        <w:tab/>
        <w:t>Initial Trust</w:t>
      </w:r>
    </w:p>
    <w:p w:rsidR="003A2DC1" w:rsidRPr="003925FE" w:rsidRDefault="004E5226">
      <w:pPr>
        <w:rPr>
          <w:sz w:val="22"/>
          <w:szCs w:val="22"/>
        </w:rPr>
      </w:pPr>
      <w:r w:rsidRPr="003925FE">
        <w:rPr>
          <w:sz w:val="22"/>
          <w:szCs w:val="22"/>
        </w:rPr>
        <w:t xml:space="preserve">This solution can assume that the initial trust has already been established via </w:t>
      </w:r>
      <w:r w:rsidRPr="003925FE">
        <w:rPr>
          <w:sz w:val="22"/>
          <w:szCs w:val="22"/>
        </w:rPr>
        <w:t>the initial trust schema defined in</w:t>
      </w:r>
      <w:r w:rsidRPr="003925FE">
        <w:rPr>
          <w:sz w:val="22"/>
          <w:szCs w:val="22"/>
        </w:rPr>
        <w:t xml:space="preserve"> TS 33.310 [</w:t>
      </w:r>
      <w:r w:rsidRPr="003925FE">
        <w:rPr>
          <w:sz w:val="22"/>
          <w:szCs w:val="22"/>
        </w:rPr>
        <w:t>3</w:t>
      </w:r>
      <w:r w:rsidRPr="003925FE">
        <w:rPr>
          <w:sz w:val="22"/>
          <w:szCs w:val="22"/>
        </w:rPr>
        <w:t xml:space="preserve">], which is briefly described as follows. </w:t>
      </w:r>
    </w:p>
    <w:p w:rsidR="003A2DC1" w:rsidRPr="003925FE" w:rsidRDefault="003A2DC1">
      <w:pPr>
        <w:jc w:val="center"/>
        <w:rPr>
          <w:sz w:val="22"/>
          <w:szCs w:val="22"/>
        </w:rPr>
      </w:pPr>
    </w:p>
    <w:p w:rsidR="003A2DC1" w:rsidRPr="003925FE" w:rsidRDefault="004E5226">
      <w:pPr>
        <w:jc w:val="center"/>
        <w:rPr>
          <w:sz w:val="22"/>
          <w:szCs w:val="22"/>
        </w:rPr>
      </w:pPr>
      <w:r w:rsidRPr="003925FE">
        <w:rPr>
          <w:noProof/>
          <w:sz w:val="22"/>
          <w:szCs w:val="22"/>
        </w:rPr>
        <w:lastRenderedPageBreak/>
        <w:drawing>
          <wp:inline distT="114300" distB="114300" distL="114300" distR="114300">
            <wp:extent cx="5573077" cy="2071486"/>
            <wp:effectExtent l="0" t="0" r="0" b="0"/>
            <wp:docPr id="7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73077" cy="207148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3A2DC1" w:rsidRPr="003925FE" w:rsidRDefault="004E5226">
      <w:pPr>
        <w:jc w:val="center"/>
        <w:rPr>
          <w:sz w:val="22"/>
          <w:szCs w:val="22"/>
        </w:rPr>
      </w:pPr>
      <w:r w:rsidRPr="003925FE">
        <w:rPr>
          <w:sz w:val="22"/>
          <w:szCs w:val="22"/>
        </w:rPr>
        <w:t>Figure 6.x.2.1-1 Initial trust schema</w:t>
      </w:r>
    </w:p>
    <w:p w:rsidR="003A2DC1" w:rsidRPr="003925FE" w:rsidRDefault="004E5226">
      <w:pPr>
        <w:rPr>
          <w:sz w:val="22"/>
          <w:szCs w:val="22"/>
        </w:rPr>
      </w:pPr>
      <w:bookmarkStart w:id="5" w:name="_tyjcwt" w:colFirst="0" w:colLast="0"/>
      <w:bookmarkEnd w:id="5"/>
      <w:r w:rsidRPr="003925FE">
        <w:rPr>
          <w:sz w:val="22"/>
          <w:szCs w:val="22"/>
        </w:rPr>
        <w:t>As depicted in Figure 6.x.2.1-1 Operation, administration and maintenance (OAM) system has a preestablished trust with Operator CA/RA. An operator CA/RA can be a trusted third-party CA/RA, with which the 5GS has a pre-established trust. The OAM can configu</w:t>
      </w:r>
      <w:r w:rsidRPr="003925FE">
        <w:rPr>
          <w:sz w:val="22"/>
          <w:szCs w:val="22"/>
        </w:rPr>
        <w:t xml:space="preserve">re the </w:t>
      </w:r>
      <w:r w:rsidRPr="003925FE">
        <w:rPr>
          <w:sz w:val="22"/>
          <w:szCs w:val="22"/>
        </w:rPr>
        <w:t xml:space="preserve">5G Core </w:t>
      </w:r>
      <w:r w:rsidRPr="003925FE">
        <w:rPr>
          <w:sz w:val="22"/>
          <w:szCs w:val="22"/>
        </w:rPr>
        <w:t xml:space="preserve">NF </w:t>
      </w:r>
      <w:r w:rsidRPr="003925FE">
        <w:rPr>
          <w:sz w:val="22"/>
          <w:szCs w:val="22"/>
        </w:rPr>
        <w:t xml:space="preserve">with a list of trust anchors and </w:t>
      </w:r>
      <w:r w:rsidRPr="003925FE">
        <w:rPr>
          <w:sz w:val="22"/>
          <w:szCs w:val="22"/>
        </w:rPr>
        <w:t>with a private/public key pair</w:t>
      </w:r>
      <w:r w:rsidRPr="003925FE">
        <w:rPr>
          <w:sz w:val="22"/>
          <w:szCs w:val="22"/>
        </w:rPr>
        <w:t xml:space="preserve"> to be used for ACME account creation</w:t>
      </w:r>
      <w:r w:rsidRPr="003925FE">
        <w:rPr>
          <w:sz w:val="22"/>
          <w:szCs w:val="22"/>
        </w:rPr>
        <w:t xml:space="preserve">. Alternatively, the 5G </w:t>
      </w:r>
      <w:r w:rsidRPr="003925FE">
        <w:rPr>
          <w:sz w:val="22"/>
          <w:szCs w:val="22"/>
        </w:rPr>
        <w:t xml:space="preserve">Core </w:t>
      </w:r>
      <w:r w:rsidRPr="003925FE">
        <w:rPr>
          <w:sz w:val="22"/>
          <w:szCs w:val="22"/>
        </w:rPr>
        <w:t xml:space="preserve">NF </w:t>
      </w:r>
      <w:r w:rsidRPr="003925FE">
        <w:rPr>
          <w:sz w:val="22"/>
          <w:szCs w:val="22"/>
        </w:rPr>
        <w:t>can generate its own key pair.</w:t>
      </w:r>
      <w:r w:rsidRPr="003925FE">
        <w:rPr>
          <w:sz w:val="22"/>
          <w:szCs w:val="22"/>
        </w:rPr>
        <w:t xml:space="preserve"> </w:t>
      </w:r>
    </w:p>
    <w:p w:rsidR="003A2DC1" w:rsidRPr="00230D2D" w:rsidRDefault="004E5226">
      <w:pPr>
        <w:rPr>
          <w:sz w:val="22"/>
          <w:szCs w:val="22"/>
        </w:rPr>
      </w:pPr>
      <w:bookmarkStart w:id="6" w:name="_3dy6vkm" w:colFirst="0" w:colLast="0"/>
      <w:bookmarkEnd w:id="6"/>
      <w:r w:rsidRPr="003925FE">
        <w:rPr>
          <w:sz w:val="22"/>
          <w:szCs w:val="22"/>
        </w:rPr>
        <w:t xml:space="preserve">Note that </w:t>
      </w:r>
      <w:r w:rsidRPr="003925FE">
        <w:rPr>
          <w:sz w:val="22"/>
          <w:szCs w:val="22"/>
        </w:rPr>
        <w:t xml:space="preserve">the </w:t>
      </w:r>
      <w:r w:rsidRPr="003925FE">
        <w:rPr>
          <w:sz w:val="22"/>
          <w:szCs w:val="22"/>
        </w:rPr>
        <w:t xml:space="preserve">Operator CA/RA behaves as an ACME server and </w:t>
      </w:r>
      <w:r w:rsidRPr="003925FE">
        <w:rPr>
          <w:sz w:val="22"/>
          <w:szCs w:val="22"/>
        </w:rPr>
        <w:t xml:space="preserve">the </w:t>
      </w:r>
      <w:r w:rsidRPr="003925FE">
        <w:rPr>
          <w:sz w:val="22"/>
          <w:szCs w:val="22"/>
        </w:rPr>
        <w:t xml:space="preserve">5G </w:t>
      </w:r>
      <w:r w:rsidRPr="003925FE">
        <w:rPr>
          <w:sz w:val="22"/>
          <w:szCs w:val="22"/>
        </w:rPr>
        <w:t>C</w:t>
      </w:r>
      <w:r w:rsidRPr="003925FE">
        <w:rPr>
          <w:sz w:val="22"/>
          <w:szCs w:val="22"/>
        </w:rPr>
        <w:t xml:space="preserve">ore </w:t>
      </w:r>
      <w:r w:rsidRPr="003925FE">
        <w:rPr>
          <w:sz w:val="22"/>
          <w:szCs w:val="22"/>
        </w:rPr>
        <w:t xml:space="preserve">NF acts as an ACME client. </w:t>
      </w:r>
      <w:r>
        <w:t xml:space="preserve">                     </w:t>
      </w:r>
    </w:p>
    <w:p w:rsidR="003A2DC1" w:rsidRDefault="004E5226">
      <w:pPr>
        <w:pStyle w:val="Heading5"/>
      </w:pPr>
      <w:bookmarkStart w:id="7" w:name="_1t3h5sf" w:colFirst="0" w:colLast="0"/>
      <w:bookmarkEnd w:id="7"/>
      <w:r>
        <w:t xml:space="preserve"> </w:t>
      </w:r>
      <w:r>
        <w:rPr>
          <w:sz w:val="24"/>
          <w:szCs w:val="24"/>
        </w:rPr>
        <w:t>6.x.2</w:t>
      </w:r>
      <w:r>
        <w:rPr>
          <w:sz w:val="24"/>
          <w:szCs w:val="24"/>
        </w:rPr>
        <w:t xml:space="preserve">.2 Certificate enrolment </w:t>
      </w:r>
    </w:p>
    <w:p w:rsidR="003A2DC1" w:rsidRPr="003925FE" w:rsidRDefault="004E5226">
      <w:pPr>
        <w:rPr>
          <w:sz w:val="22"/>
          <w:szCs w:val="22"/>
        </w:rPr>
      </w:pPr>
      <w:r w:rsidRPr="003925FE">
        <w:rPr>
          <w:sz w:val="22"/>
          <w:szCs w:val="22"/>
        </w:rPr>
        <w:t>Figure 6.x.2</w:t>
      </w:r>
      <w:r w:rsidRPr="003925FE">
        <w:rPr>
          <w:sz w:val="22"/>
          <w:szCs w:val="22"/>
        </w:rPr>
        <w:t xml:space="preserve">.2-1 describes the ACME certificate enrolment procedure </w:t>
      </w:r>
      <w:r w:rsidRPr="003925FE">
        <w:rPr>
          <w:sz w:val="22"/>
          <w:szCs w:val="22"/>
        </w:rPr>
        <w:t xml:space="preserve">for a </w:t>
      </w:r>
      <w:r w:rsidRPr="003925FE">
        <w:rPr>
          <w:sz w:val="22"/>
          <w:szCs w:val="22"/>
        </w:rPr>
        <w:t>5G</w:t>
      </w:r>
      <w:r w:rsidRPr="003925FE">
        <w:rPr>
          <w:sz w:val="22"/>
          <w:szCs w:val="22"/>
        </w:rPr>
        <w:t xml:space="preserve"> </w:t>
      </w:r>
      <w:r w:rsidRPr="003925FE">
        <w:rPr>
          <w:sz w:val="22"/>
          <w:szCs w:val="22"/>
        </w:rPr>
        <w:t>NF</w:t>
      </w:r>
      <w:r w:rsidRPr="003925FE">
        <w:rPr>
          <w:sz w:val="22"/>
          <w:szCs w:val="22"/>
        </w:rPr>
        <w:t xml:space="preserve">. </w:t>
      </w:r>
      <w:r>
        <w:rPr>
          <w:sz w:val="22"/>
          <w:szCs w:val="22"/>
        </w:rPr>
        <w:t>Note that 5G Core NF can also be referred to as 5G NF.</w:t>
      </w:r>
    </w:p>
    <w:p w:rsidR="003A2DC1" w:rsidRDefault="004E5226">
      <w:pPr>
        <w:jc w:val="center"/>
      </w:pPr>
      <w:bookmarkStart w:id="8" w:name="_GoBack"/>
      <w:r>
        <w:rPr>
          <w:noProof/>
        </w:rPr>
        <w:drawing>
          <wp:inline distT="0" distB="0" distL="0" distR="0">
            <wp:extent cx="5619750" cy="4591050"/>
            <wp:effectExtent l="0" t="0" r="0" b="0"/>
            <wp:docPr id="9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0205" cy="459142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bookmarkEnd w:id="8"/>
    </w:p>
    <w:p w:rsidR="003A2DC1" w:rsidRDefault="004E5226">
      <w:pPr>
        <w:jc w:val="center"/>
      </w:pPr>
      <w:bookmarkStart w:id="9" w:name="_4d34og8" w:colFirst="0" w:colLast="0"/>
      <w:bookmarkEnd w:id="9"/>
      <w:r>
        <w:rPr>
          <w:b/>
        </w:rPr>
        <w:t>Figure 6.x.2</w:t>
      </w:r>
      <w:r>
        <w:rPr>
          <w:b/>
        </w:rPr>
        <w:t>.2-1 – ACME certificate enrolment</w:t>
      </w:r>
    </w:p>
    <w:p w:rsidR="003A2DC1" w:rsidRPr="003925FE" w:rsidRDefault="003A2DC1">
      <w:pPr>
        <w:spacing w:after="0" w:line="276" w:lineRule="auto"/>
        <w:rPr>
          <w:sz w:val="22"/>
          <w:szCs w:val="22"/>
        </w:rPr>
      </w:pPr>
    </w:p>
    <w:p w:rsidR="003A2DC1" w:rsidRDefault="004E5226">
      <w:pPr>
        <w:numPr>
          <w:ilvl w:val="0"/>
          <w:numId w:val="1"/>
        </w:numPr>
        <w:spacing w:after="0" w:line="276" w:lineRule="auto"/>
      </w:pPr>
      <w:r w:rsidRPr="003925FE">
        <w:rPr>
          <w:sz w:val="22"/>
          <w:szCs w:val="22"/>
        </w:rPr>
        <w:lastRenderedPageBreak/>
        <w:t xml:space="preserve">The ACME client requests a certificate by sending a new order request for </w:t>
      </w:r>
      <w:r w:rsidRPr="003925FE">
        <w:rPr>
          <w:sz w:val="22"/>
          <w:szCs w:val="22"/>
        </w:rPr>
        <w:t xml:space="preserve">5G SBA ACME Identifier </w:t>
      </w:r>
      <w:r w:rsidRPr="003925FE">
        <w:rPr>
          <w:sz w:val="22"/>
          <w:szCs w:val="22"/>
        </w:rPr>
        <w:t xml:space="preserve">to the CA’s </w:t>
      </w:r>
      <w:proofErr w:type="spellStart"/>
      <w:r w:rsidRPr="003925FE">
        <w:rPr>
          <w:sz w:val="22"/>
          <w:szCs w:val="22"/>
        </w:rPr>
        <w:t>newOrder</w:t>
      </w:r>
      <w:proofErr w:type="spellEnd"/>
      <w:r w:rsidRPr="003925FE">
        <w:rPr>
          <w:sz w:val="22"/>
          <w:szCs w:val="22"/>
        </w:rPr>
        <w:t xml:space="preserve"> resource using a</w:t>
      </w:r>
      <w:r w:rsidRPr="003925FE">
        <w:rPr>
          <w:sz w:val="22"/>
          <w:szCs w:val="22"/>
        </w:rPr>
        <w:t xml:space="preserve"> POST request. </w:t>
      </w:r>
      <w:r w:rsidRPr="003925FE">
        <w:rPr>
          <w:sz w:val="22"/>
          <w:szCs w:val="22"/>
        </w:rPr>
        <w:t>5G SBA</w:t>
      </w:r>
      <w:r w:rsidRPr="003925FE">
        <w:rPr>
          <w:sz w:val="22"/>
          <w:szCs w:val="22"/>
        </w:rPr>
        <w:t xml:space="preserve"> ACME </w:t>
      </w:r>
      <w:r>
        <w:rPr>
          <w:sz w:val="22"/>
          <w:szCs w:val="22"/>
        </w:rPr>
        <w:t>I</w:t>
      </w:r>
      <w:r w:rsidRPr="003925FE">
        <w:rPr>
          <w:sz w:val="22"/>
          <w:szCs w:val="22"/>
        </w:rPr>
        <w:t xml:space="preserve">dentifier </w:t>
      </w:r>
      <w:r w:rsidRPr="003925FE">
        <w:rPr>
          <w:sz w:val="22"/>
          <w:szCs w:val="22"/>
        </w:rPr>
        <w:t xml:space="preserve">can be </w:t>
      </w:r>
      <w:r w:rsidRPr="003925FE">
        <w:rPr>
          <w:sz w:val="22"/>
          <w:szCs w:val="22"/>
        </w:rPr>
        <w:t>any ACME identifier shown to work with 5G SBA</w:t>
      </w:r>
      <w:r>
        <w:rPr>
          <w:sz w:val="22"/>
          <w:szCs w:val="22"/>
        </w:rPr>
        <w:t>,</w:t>
      </w:r>
      <w:r w:rsidRPr="003925FE">
        <w:rPr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 w:rsidRPr="003925FE">
        <w:rPr>
          <w:sz w:val="22"/>
          <w:szCs w:val="22"/>
        </w:rPr>
        <w:t>.g., Solution #1, Solution #2, Solution #3</w:t>
      </w:r>
      <w:r w:rsidRPr="003925FE">
        <w:rPr>
          <w:sz w:val="22"/>
          <w:szCs w:val="22"/>
        </w:rPr>
        <w:t xml:space="preserve">. </w:t>
      </w:r>
    </w:p>
    <w:p w:rsidR="003A2DC1" w:rsidRPr="003925FE" w:rsidRDefault="003A2DC1">
      <w:pPr>
        <w:spacing w:after="0" w:line="276" w:lineRule="auto"/>
        <w:ind w:left="720"/>
        <w:rPr>
          <w:sz w:val="22"/>
          <w:szCs w:val="22"/>
        </w:rPr>
      </w:pPr>
    </w:p>
    <w:p w:rsidR="003A2DC1" w:rsidRPr="003925FE" w:rsidRDefault="004E5226" w:rsidP="003925FE">
      <w:pPr>
        <w:numPr>
          <w:ilvl w:val="0"/>
          <w:numId w:val="1"/>
        </w:numPr>
        <w:rPr>
          <w:color w:val="000000"/>
          <w:sz w:val="22"/>
          <w:szCs w:val="22"/>
        </w:rPr>
      </w:pPr>
      <w:r w:rsidRPr="003925FE">
        <w:rPr>
          <w:sz w:val="22"/>
          <w:szCs w:val="22"/>
        </w:rPr>
        <w:t xml:space="preserve">The ACME server responds with a 201 (Created) response </w:t>
      </w:r>
      <w:r>
        <w:rPr>
          <w:sz w:val="22"/>
          <w:szCs w:val="22"/>
        </w:rPr>
        <w:t>that</w:t>
      </w:r>
      <w:r w:rsidRPr="003925FE">
        <w:rPr>
          <w:sz w:val="22"/>
          <w:szCs w:val="22"/>
        </w:rPr>
        <w:t xml:space="preserve"> includes authorization objects with challenges to be satisfied</w:t>
      </w:r>
      <w:r>
        <w:rPr>
          <w:sz w:val="22"/>
          <w:szCs w:val="22"/>
        </w:rPr>
        <w:t xml:space="preserve"> as described in RFC 8555[2]</w:t>
      </w:r>
      <w:r w:rsidRPr="003925FE">
        <w:rPr>
          <w:sz w:val="22"/>
          <w:szCs w:val="22"/>
        </w:rPr>
        <w:t xml:space="preserve">. </w:t>
      </w:r>
    </w:p>
    <w:p w:rsidR="003A2DC1" w:rsidRDefault="004E5226">
      <w:pPr>
        <w:numPr>
          <w:ilvl w:val="0"/>
          <w:numId w:val="1"/>
        </w:numPr>
        <w:spacing w:after="0" w:line="276" w:lineRule="auto"/>
      </w:pPr>
      <w:r w:rsidRPr="003925FE">
        <w:rPr>
          <w:sz w:val="22"/>
          <w:szCs w:val="22"/>
        </w:rPr>
        <w:t xml:space="preserve">The ACME client checks the authorization objects within </w:t>
      </w:r>
      <w:r>
        <w:rPr>
          <w:sz w:val="22"/>
          <w:szCs w:val="22"/>
        </w:rPr>
        <w:t>the response</w:t>
      </w:r>
      <w:r w:rsidRPr="003925FE">
        <w:rPr>
          <w:sz w:val="22"/>
          <w:szCs w:val="22"/>
        </w:rPr>
        <w:t xml:space="preserve"> and completes the listed challenges before requesting the ACME server to sign the certificate</w:t>
      </w:r>
      <w:r>
        <w:rPr>
          <w:sz w:val="22"/>
          <w:szCs w:val="22"/>
        </w:rPr>
        <w:t xml:space="preserve"> as described in RFC 8555 [2]</w:t>
      </w:r>
      <w:r w:rsidRPr="003925FE">
        <w:rPr>
          <w:sz w:val="22"/>
          <w:szCs w:val="22"/>
        </w:rPr>
        <w:t xml:space="preserve">. </w:t>
      </w:r>
      <w:r w:rsidRPr="003925FE">
        <w:rPr>
          <w:sz w:val="22"/>
          <w:szCs w:val="22"/>
        </w:rPr>
        <w:t>Any challenge validation methods shown to work for 5G S</w:t>
      </w:r>
      <w:r w:rsidRPr="003925FE">
        <w:rPr>
          <w:sz w:val="22"/>
          <w:szCs w:val="22"/>
        </w:rPr>
        <w:t xml:space="preserve">BA can be included in this list. </w:t>
      </w:r>
    </w:p>
    <w:p w:rsidR="003A2DC1" w:rsidRPr="003925FE" w:rsidRDefault="003A2DC1">
      <w:pPr>
        <w:spacing w:after="0" w:line="276" w:lineRule="auto"/>
        <w:ind w:left="1440"/>
        <w:rPr>
          <w:sz w:val="22"/>
          <w:szCs w:val="22"/>
        </w:rPr>
      </w:pPr>
    </w:p>
    <w:p w:rsidR="003A2DC1" w:rsidRDefault="004E5226">
      <w:pPr>
        <w:numPr>
          <w:ilvl w:val="0"/>
          <w:numId w:val="1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After</w:t>
      </w:r>
      <w:r w:rsidRPr="003925FE">
        <w:rPr>
          <w:sz w:val="22"/>
          <w:szCs w:val="22"/>
        </w:rPr>
        <w:t xml:space="preserve"> the ACME client successfully completes the challenge validation procedure, </w:t>
      </w:r>
      <w:r>
        <w:rPr>
          <w:sz w:val="22"/>
          <w:szCs w:val="22"/>
        </w:rPr>
        <w:t>it</w:t>
      </w:r>
      <w:r w:rsidRPr="003925FE">
        <w:rPr>
          <w:sz w:val="22"/>
          <w:szCs w:val="22"/>
        </w:rPr>
        <w:t xml:space="preserve"> send</w:t>
      </w:r>
      <w:r>
        <w:rPr>
          <w:sz w:val="22"/>
          <w:szCs w:val="22"/>
        </w:rPr>
        <w:t>s</w:t>
      </w:r>
      <w:r w:rsidRPr="003925FE">
        <w:rPr>
          <w:sz w:val="22"/>
          <w:szCs w:val="22"/>
        </w:rPr>
        <w:t xml:space="preserve"> a Certificate Signing Request (CSR) to the ACME server.  </w:t>
      </w:r>
    </w:p>
    <w:p w:rsidR="003A2DC1" w:rsidRPr="003925FE" w:rsidRDefault="004E5226" w:rsidP="003925FE">
      <w:pPr>
        <w:numPr>
          <w:ilvl w:val="0"/>
          <w:numId w:val="1"/>
        </w:numPr>
        <w:rPr>
          <w:color w:val="000000"/>
          <w:sz w:val="22"/>
          <w:szCs w:val="22"/>
        </w:rPr>
      </w:pPr>
      <w:r>
        <w:rPr>
          <w:sz w:val="22"/>
          <w:szCs w:val="22"/>
        </w:rPr>
        <w:t>T</w:t>
      </w:r>
      <w:r w:rsidRPr="003925FE">
        <w:rPr>
          <w:sz w:val="22"/>
          <w:szCs w:val="22"/>
        </w:rPr>
        <w:t xml:space="preserve">he </w:t>
      </w:r>
      <w:r>
        <w:rPr>
          <w:sz w:val="22"/>
          <w:szCs w:val="22"/>
        </w:rPr>
        <w:t xml:space="preserve">ACME </w:t>
      </w:r>
      <w:r w:rsidRPr="003925FE">
        <w:rPr>
          <w:sz w:val="22"/>
          <w:szCs w:val="22"/>
        </w:rPr>
        <w:t xml:space="preserve">server </w:t>
      </w:r>
      <w:r w:rsidRPr="003925FE">
        <w:rPr>
          <w:sz w:val="22"/>
          <w:szCs w:val="22"/>
        </w:rPr>
        <w:t>issue</w:t>
      </w:r>
      <w:r>
        <w:rPr>
          <w:sz w:val="22"/>
          <w:szCs w:val="22"/>
        </w:rPr>
        <w:t>s</w:t>
      </w:r>
      <w:r w:rsidRPr="003925FE">
        <w:rPr>
          <w:sz w:val="22"/>
          <w:szCs w:val="22"/>
        </w:rPr>
        <w:t xml:space="preserve"> the certificate and publish</w:t>
      </w:r>
      <w:r>
        <w:rPr>
          <w:sz w:val="22"/>
          <w:szCs w:val="22"/>
        </w:rPr>
        <w:t>es</w:t>
      </w:r>
      <w:r w:rsidRPr="003925FE">
        <w:rPr>
          <w:sz w:val="22"/>
          <w:szCs w:val="22"/>
        </w:rPr>
        <w:t xml:space="preserve"> it in the corresponding resource directory to the URL provided in the order object</w:t>
      </w:r>
      <w:r>
        <w:rPr>
          <w:sz w:val="22"/>
          <w:szCs w:val="22"/>
        </w:rPr>
        <w:t>.</w:t>
      </w:r>
    </w:p>
    <w:p w:rsidR="003A2DC1" w:rsidRDefault="004E5226">
      <w:pPr>
        <w:numPr>
          <w:ilvl w:val="0"/>
          <w:numId w:val="1"/>
        </w:numPr>
        <w:spacing w:line="276" w:lineRule="auto"/>
        <w:rPr>
          <w:sz w:val="22"/>
          <w:szCs w:val="22"/>
        </w:rPr>
      </w:pPr>
      <w:r w:rsidRPr="003925FE">
        <w:rPr>
          <w:sz w:val="22"/>
          <w:szCs w:val="22"/>
        </w:rPr>
        <w:t>The ACME client downloads the certificate by sending a POST-as-GET request to the certificate URL</w:t>
      </w:r>
      <w:r>
        <w:rPr>
          <w:sz w:val="22"/>
          <w:szCs w:val="22"/>
        </w:rPr>
        <w:t xml:space="preserve"> provided</w:t>
      </w:r>
      <w:r w:rsidRPr="003925FE">
        <w:rPr>
          <w:sz w:val="22"/>
          <w:szCs w:val="22"/>
        </w:rPr>
        <w:t xml:space="preserve">. </w:t>
      </w:r>
    </w:p>
    <w:p w:rsidR="003A2DC1" w:rsidRPr="003925FE" w:rsidRDefault="004E5226" w:rsidP="003925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rPr>
          <w:sz w:val="22"/>
          <w:szCs w:val="22"/>
        </w:rPr>
      </w:pPr>
      <w:bookmarkStart w:id="10" w:name="_2s8eyo1" w:colFirst="0" w:colLast="0"/>
      <w:bookmarkEnd w:id="10"/>
      <w:r w:rsidRPr="003925FE">
        <w:rPr>
          <w:color w:val="000000"/>
          <w:sz w:val="22"/>
          <w:szCs w:val="22"/>
        </w:rPr>
        <w:t>Note: The 5G NF/client may proactively obtain authorization and may not have to perform challenge-response procedure in Steps 2 – Step 4</w:t>
      </w:r>
      <w:r>
        <w:rPr>
          <w:color w:val="000000"/>
          <w:sz w:val="22"/>
          <w:szCs w:val="22"/>
        </w:rPr>
        <w:t xml:space="preserve"> based on p</w:t>
      </w:r>
      <w:r>
        <w:rPr>
          <w:color w:val="000000"/>
          <w:sz w:val="22"/>
          <w:szCs w:val="22"/>
        </w:rPr>
        <w:t xml:space="preserve">re-authorization procedure described in clause 7.4.1 of RFC 8555 [2]. </w:t>
      </w:r>
    </w:p>
    <w:p w:rsidR="003A2DC1" w:rsidRPr="003925FE" w:rsidRDefault="003A2DC1" w:rsidP="003925FE">
      <w:pPr>
        <w:spacing w:line="276" w:lineRule="auto"/>
        <w:rPr>
          <w:sz w:val="22"/>
          <w:szCs w:val="22"/>
        </w:rPr>
      </w:pPr>
    </w:p>
    <w:p w:rsidR="003A2DC1" w:rsidRDefault="004E5226">
      <w:pPr>
        <w:pStyle w:val="Heading3"/>
      </w:pPr>
      <w:bookmarkStart w:id="11" w:name="_17dp8vu" w:colFirst="0" w:colLast="0"/>
      <w:bookmarkEnd w:id="11"/>
      <w:r>
        <w:t>6.x.3 Evaluation</w:t>
      </w:r>
    </w:p>
    <w:p w:rsidR="003A2DC1" w:rsidRPr="003925FE" w:rsidRDefault="004E5226">
      <w:pPr>
        <w:rPr>
          <w:sz w:val="22"/>
          <w:szCs w:val="22"/>
        </w:rPr>
      </w:pPr>
      <w:r w:rsidRPr="003925FE">
        <w:rPr>
          <w:sz w:val="22"/>
          <w:szCs w:val="22"/>
        </w:rPr>
        <w:t xml:space="preserve">This solution addresses </w:t>
      </w:r>
      <w:r w:rsidRPr="003925FE">
        <w:rPr>
          <w:sz w:val="22"/>
          <w:szCs w:val="22"/>
        </w:rPr>
        <w:t>KI#4.</w:t>
      </w:r>
    </w:p>
    <w:p w:rsidR="003A2DC1" w:rsidRPr="003925FE" w:rsidRDefault="004E5226">
      <w:pPr>
        <w:rPr>
          <w:sz w:val="22"/>
          <w:szCs w:val="22"/>
        </w:rPr>
      </w:pPr>
      <w:r w:rsidRPr="003925FE">
        <w:rPr>
          <w:sz w:val="22"/>
          <w:szCs w:val="22"/>
        </w:rPr>
        <w:t xml:space="preserve">This solution impacts core network function, OAM and service protocols in the 5G core network. </w:t>
      </w:r>
    </w:p>
    <w:p w:rsidR="003A2DC1" w:rsidRPr="003925FE" w:rsidRDefault="004E5226">
      <w:pPr>
        <w:rPr>
          <w:sz w:val="22"/>
          <w:szCs w:val="22"/>
        </w:rPr>
      </w:pPr>
      <w:r w:rsidRPr="003925FE">
        <w:rPr>
          <w:sz w:val="22"/>
          <w:szCs w:val="22"/>
        </w:rPr>
        <w:t>The solution outlines how certificate enrolment in 5G SBA may be performed using the ACME protocol [2] with a</w:t>
      </w:r>
      <w:r w:rsidRPr="003925FE">
        <w:rPr>
          <w:sz w:val="22"/>
          <w:szCs w:val="22"/>
        </w:rPr>
        <w:t xml:space="preserve">ny ACME identifier type and corresponding ACME challenge validation types that are suited for use in 5G SBA deployments. </w:t>
      </w:r>
    </w:p>
    <w:p w:rsidR="003A2DC1" w:rsidRPr="003925FE" w:rsidRDefault="004E5226">
      <w:pPr>
        <w:rPr>
          <w:sz w:val="22"/>
          <w:szCs w:val="22"/>
        </w:rPr>
      </w:pPr>
      <w:r w:rsidRPr="003925FE">
        <w:rPr>
          <w:sz w:val="22"/>
          <w:szCs w:val="22"/>
        </w:rPr>
        <w:t>Editor’s Note: Further evaluation is FFS.</w:t>
      </w:r>
    </w:p>
    <w:p w:rsidR="003A2DC1" w:rsidRDefault="003A2DC1">
      <w:pPr>
        <w:jc w:val="center"/>
        <w:rPr>
          <w:color w:val="4472C4"/>
          <w:sz w:val="24"/>
          <w:szCs w:val="24"/>
        </w:rPr>
      </w:pPr>
    </w:p>
    <w:p w:rsidR="003A2DC1" w:rsidRDefault="004E5226">
      <w:pPr>
        <w:jc w:val="center"/>
        <w:rPr>
          <w:color w:val="4472C4"/>
          <w:sz w:val="24"/>
          <w:szCs w:val="24"/>
        </w:rPr>
      </w:pPr>
      <w:r>
        <w:rPr>
          <w:color w:val="4472C4"/>
          <w:sz w:val="24"/>
          <w:szCs w:val="24"/>
        </w:rPr>
        <w:t>***</w:t>
      </w:r>
      <w:r>
        <w:rPr>
          <w:color w:val="4472C4"/>
          <w:sz w:val="24"/>
          <w:szCs w:val="24"/>
        </w:rPr>
        <w:tab/>
        <w:t>END OF CHANGES</w:t>
      </w:r>
      <w:r>
        <w:rPr>
          <w:color w:val="4472C4"/>
          <w:sz w:val="24"/>
          <w:szCs w:val="24"/>
        </w:rPr>
        <w:tab/>
        <w:t>***</w:t>
      </w:r>
    </w:p>
    <w:p w:rsidR="003A2DC1" w:rsidRDefault="003A2DC1">
      <w:pPr>
        <w:jc w:val="center"/>
        <w:rPr>
          <w:color w:val="4472C4"/>
          <w:sz w:val="24"/>
          <w:szCs w:val="24"/>
        </w:rPr>
      </w:pPr>
    </w:p>
    <w:p w:rsidR="003A2DC1" w:rsidRDefault="003A2DC1">
      <w:pPr>
        <w:jc w:val="center"/>
        <w:rPr>
          <w:color w:val="4472C4"/>
          <w:sz w:val="24"/>
          <w:szCs w:val="24"/>
        </w:rPr>
      </w:pPr>
    </w:p>
    <w:sectPr w:rsidR="003A2DC1" w:rsidSect="003925FE">
      <w:footerReference w:type="even" r:id="rId9"/>
      <w:footerReference w:type="default" r:id="rId10"/>
      <w:footerReference w:type="first" r:id="rId11"/>
      <w:pgSz w:w="11907" w:h="16840"/>
      <w:pgMar w:top="567" w:right="1143" w:bottom="567" w:left="1134" w:header="680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5226" w:rsidRDefault="004E5226">
      <w:pPr>
        <w:spacing w:after="0"/>
      </w:pPr>
      <w:r>
        <w:separator/>
      </w:r>
    </w:p>
  </w:endnote>
  <w:endnote w:type="continuationSeparator" w:id="0">
    <w:p w:rsidR="004E5226" w:rsidRDefault="004E52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DC1" w:rsidRDefault="004E5226">
    <w:pPr>
      <w:widowControl w:val="0"/>
      <w:pBdr>
        <w:top w:val="nil"/>
        <w:left w:val="nil"/>
        <w:bottom w:val="nil"/>
        <w:right w:val="nil"/>
        <w:between w:val="nil"/>
      </w:pBdr>
      <w:jc w:val="center"/>
      <w:rPr>
        <w:rFonts w:ascii="Arial" w:eastAsia="Arial" w:hAnsi="Arial" w:cs="Arial"/>
        <w:b/>
        <w:i/>
        <w:color w:val="000000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hidden="0" allowOverlap="1">
              <wp:simplePos x="0" y="0"/>
              <wp:positionH relativeFrom="column">
                <wp:posOffset>4381500</wp:posOffset>
              </wp:positionH>
              <wp:positionV relativeFrom="paragraph">
                <wp:posOffset>0</wp:posOffset>
              </wp:positionV>
              <wp:extent cx="1012190" cy="333375"/>
              <wp:effectExtent l="0" t="0" r="0" b="0"/>
              <wp:wrapNone/>
              <wp:docPr id="6" name="Rectangle 6" descr="Cisco Confident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849430" y="3622838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3A2DC1" w:rsidRDefault="004E5226">
                          <w:pPr>
                            <w:spacing w:after="0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</w:rPr>
                            <w:t>Cisco Confidential</w:t>
                          </w:r>
                        </w:p>
                      </w:txbxContent>
                    </wps:txbx>
                    <wps:bodyPr spcFirstLastPara="1" wrap="square" lIns="0" tIns="0" rIns="254000" bIns="190500" anchor="b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6" o:spid="_x0000_s1026" alt="Cisco Confidential" style="position:absolute;left:0;text-align:left;margin-left:345pt;margin-top:0;width:79.7pt;height:26.25pt;z-index:25166028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" filled="f" stroked="f">
              <v:textbox inset="0,0,20pt,15pt">
                <w:txbxContent>
                  <w:p w:rsidR="003A2DC1" w:rsidRDefault="004E5226">
                    <w:pPr>
                      <w:spacing w:after="0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16"/>
                      </w:rPr>
                      <w:t>Cisco Confidential</w:t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DC1" w:rsidRDefault="004E5226">
    <w:pPr>
      <w:widowControl w:val="0"/>
      <w:pBdr>
        <w:top w:val="nil"/>
        <w:left w:val="nil"/>
        <w:bottom w:val="nil"/>
        <w:right w:val="nil"/>
        <w:between w:val="nil"/>
      </w:pBdr>
      <w:jc w:val="center"/>
      <w:rPr>
        <w:rFonts w:ascii="Arial" w:eastAsia="Arial" w:hAnsi="Arial" w:cs="Arial"/>
        <w:b/>
        <w:i/>
        <w:color w:val="000000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hidden="0" allowOverlap="1">
              <wp:simplePos x="0" y="0"/>
              <wp:positionH relativeFrom="column">
                <wp:posOffset>4381500</wp:posOffset>
              </wp:positionH>
              <wp:positionV relativeFrom="paragraph">
                <wp:posOffset>0</wp:posOffset>
              </wp:positionV>
              <wp:extent cx="1012190" cy="333375"/>
              <wp:effectExtent l="0" t="0" r="0" b="0"/>
              <wp:wrapNone/>
              <wp:docPr id="4" name="Rectangle 4" descr="Cisco Confident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849430" y="3622838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3A2DC1" w:rsidRDefault="004E5226">
                          <w:pPr>
                            <w:spacing w:after="0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</w:rPr>
                            <w:t>Cisco Confidential</w:t>
                          </w:r>
                        </w:p>
                      </w:txbxContent>
                    </wps:txbx>
                    <wps:bodyPr spcFirstLastPara="1" wrap="square" lIns="0" tIns="0" rIns="254000" bIns="190500" anchor="b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4" o:spid="_x0000_s1027" alt="Cisco Confidential" style="position:absolute;left:0;text-align:left;margin-left:345pt;margin-top:0;width:79.7pt;height:26.25pt;z-index: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" filled="f" stroked="f">
              <v:textbox inset="0,0,20pt,15pt">
                <w:txbxContent>
                  <w:p w:rsidR="003A2DC1" w:rsidRDefault="004E5226">
                    <w:pPr>
                      <w:spacing w:after="0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16"/>
                      </w:rPr>
                      <w:t>Cisco Confidential</w:t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DC1" w:rsidRDefault="004E5226">
    <w:pPr>
      <w:widowControl w:val="0"/>
      <w:pBdr>
        <w:top w:val="nil"/>
        <w:left w:val="nil"/>
        <w:bottom w:val="nil"/>
        <w:right w:val="nil"/>
        <w:between w:val="nil"/>
      </w:pBdr>
      <w:jc w:val="center"/>
      <w:rPr>
        <w:rFonts w:ascii="Arial" w:eastAsia="Arial" w:hAnsi="Arial" w:cs="Arial"/>
        <w:b/>
        <w:i/>
        <w:color w:val="000000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hidden="0" allowOverlap="1">
              <wp:simplePos x="0" y="0"/>
              <wp:positionH relativeFrom="column">
                <wp:posOffset>4381500</wp:posOffset>
              </wp:positionH>
              <wp:positionV relativeFrom="paragraph">
                <wp:posOffset>0</wp:posOffset>
              </wp:positionV>
              <wp:extent cx="1012190" cy="333375"/>
              <wp:effectExtent l="0" t="0" r="0" b="0"/>
              <wp:wrapNone/>
              <wp:docPr id="3" name="Rectangle 3" descr="Cisco Confident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849430" y="3622838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3A2DC1" w:rsidRDefault="004E5226">
                          <w:pPr>
                            <w:spacing w:after="0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</w:rPr>
                            <w:t>Cisco Confidential</w:t>
                          </w:r>
                        </w:p>
                      </w:txbxContent>
                    </wps:txbx>
                    <wps:bodyPr spcFirstLastPara="1" wrap="square" lIns="0" tIns="0" rIns="254000" bIns="190500" anchor="b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3" o:spid="_x0000_s1028" alt="Cisco Confidential" style="position:absolute;left:0;text-align:left;margin-left:345pt;margin-top:0;width:79.7pt;height:26.25p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" filled="f" stroked="f">
              <v:textbox inset="0,0,20pt,15pt">
                <w:txbxContent>
                  <w:p w:rsidR="003A2DC1" w:rsidRDefault="004E5226">
                    <w:pPr>
                      <w:spacing w:after="0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16"/>
                      </w:rPr>
                      <w:t>Cisco Confidential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5226" w:rsidRDefault="004E5226">
      <w:pPr>
        <w:spacing w:after="0"/>
      </w:pPr>
      <w:r>
        <w:separator/>
      </w:r>
    </w:p>
  </w:footnote>
  <w:footnote w:type="continuationSeparator" w:id="0">
    <w:p w:rsidR="004E5226" w:rsidRDefault="004E52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5226A3"/>
    <w:multiLevelType w:val="multilevel"/>
    <w:tmpl w:val="0B88A7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6910635F"/>
    <w:multiLevelType w:val="multilevel"/>
    <w:tmpl w:val="F6A4970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DC1"/>
    <w:rsid w:val="00230D2D"/>
    <w:rsid w:val="003925FE"/>
    <w:rsid w:val="003A2DC1"/>
    <w:rsid w:val="003F4844"/>
    <w:rsid w:val="004E5226"/>
    <w:rsid w:val="00625C51"/>
    <w:rsid w:val="00C96B5D"/>
    <w:rsid w:val="00E17210"/>
    <w:rsid w:val="00E53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E8B65"/>
  <w15:docId w15:val="{BD73B114-1B2B-470C-AFBE-5B52A466F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single" w:sz="12" w:space="3" w:color="000000"/>
        <w:left w:val="nil"/>
        <w:bottom w:val="nil"/>
        <w:right w:val="nil"/>
        <w:between w:val="nil"/>
      </w:pBdr>
      <w:spacing w:before="240"/>
      <w:ind w:left="1134" w:hanging="1134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80"/>
      <w:ind w:left="1134" w:hanging="1134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134" w:hanging="1134"/>
      <w:outlineLvl w:val="2"/>
    </w:pPr>
    <w:rPr>
      <w:rFonts w:ascii="Arial" w:eastAsia="Arial" w:hAnsi="Arial" w:cs="Arial"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418" w:hanging="1418"/>
      <w:outlineLvl w:val="3"/>
    </w:pPr>
    <w:rPr>
      <w:rFonts w:ascii="Arial" w:eastAsia="Arial" w:hAnsi="Arial" w:cs="Arial"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701" w:hanging="1701"/>
      <w:outlineLvl w:val="4"/>
    </w:pPr>
    <w:rPr>
      <w:rFonts w:ascii="Arial" w:eastAsia="Arial" w:hAnsi="Arial" w:cs="Arial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985" w:hanging="1985"/>
      <w:outlineLvl w:val="5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5C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5C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Jiwan Ninglekhu</cp:lastModifiedBy>
  <cp:revision>4</cp:revision>
  <dcterms:created xsi:type="dcterms:W3CDTF">2024-08-23T07:46:00Z</dcterms:created>
  <dcterms:modified xsi:type="dcterms:W3CDTF">2024-08-23T09:09:00Z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(3)Fg6+uE7SvGsZ9/pwkjkBLp4nDWqgDnYe3u0VLcIeiOSbmo/gCFKjR6n18CkmALM83uYOVriHzJ9nvOB15OWfWDROfR8JDDi7KFZxspsTBFJZLLMATaqjGipiKw/ksdAM2EkMZeUGSDoam0prtoWYRIT7i7qsLP7vzm8clCbdc9Atdlf6W91AcF8bznCW3YkMEIjYkYC63sv/BR+bQ2/esRcv0x/6+oufi9t3W9knWU</vt:lpwstr>
  </property>
  <property fmtid="{D5CDD505-2E9C-101B-9397-08002B2CF9AE}" pid="3" name="_2015_ms_pID_7253431">
    <vt:lpwstr>6RrxXNR3pAZp6+EfDY3R9ctAIyBiFV+qtMbhba0czS25BhUG7rjTBE/MtAIO+LnkxC201IE9S1+JykfkZpgQiraveoUTe/FKREEYITtNK28LHgQGbCf+0cZxvz8O3zE+tlcqeSSyNXnG302ynZrQsgrx/JKqnt3eWjFkeWvq2t6VG9t0joIdicj9kHEaDuvC0FxYkjyRlp/RrBX5kZBOjSampOLvtYR8Tf4lT+tPJ9</vt:lpwstr>
  </property>
  <property fmtid="{D5CDD505-2E9C-101B-9397-08002B2CF9AE}" pid="4" name="_2015_ms_pID_7253432">
    <vt:lpwstr>LQ==</vt:lpwstr>
  </property>
  <property fmtid="{D5CDD505-2E9C-101B-9397-08002B2CF9AE}" pid="5" name="_readonly">
    <vt:lpwstr>_readonly</vt:lpwstr>
  </property>
  <property fmtid="{D5CDD505-2E9C-101B-9397-08002B2CF9AE}" pid="6" name="_change">
    <vt:lpwstr>_change</vt:lpwstr>
  </property>
  <property fmtid="{D5CDD505-2E9C-101B-9397-08002B2CF9AE}" pid="7" name="_full-control">
    <vt:lpwstr>_full-control</vt:lpwstr>
  </property>
  <property fmtid="{D5CDD505-2E9C-101B-9397-08002B2CF9AE}" pid="8" name="sflag">
    <vt:lpwstr>1613979785</vt:lpwstr>
  </property>
  <property fmtid="{D5CDD505-2E9C-101B-9397-08002B2CF9AE}" pid="9" name="MSIP_Label_ea60d57e-af5b-4752-ac57-3e4f28ca11dc_Enabled">
    <vt:lpwstr>true</vt:lpwstr>
  </property>
  <property fmtid="{D5CDD505-2E9C-101B-9397-08002B2CF9AE}" pid="10" name="MSIP_Label_ea60d57e-af5b-4752-ac57-3e4f28ca11dc_SetDate">
    <vt:lpwstr>2024-05-31T14:12:22Z</vt:lpwstr>
  </property>
  <property fmtid="{D5CDD505-2E9C-101B-9397-08002B2CF9AE}" pid="11" name="MSIP_Label_ea60d57e-af5b-4752-ac57-3e4f28ca11dc_Method">
    <vt:lpwstr>Standard</vt:lpwstr>
  </property>
  <property fmtid="{D5CDD505-2E9C-101B-9397-08002B2CF9AE}" pid="12" name="MSIP_Label_ea60d57e-af5b-4752-ac57-3e4f28ca11dc_Name">
    <vt:lpwstr>ea60d57e-af5b-4752-ac57-3e4f28ca11dc</vt:lpwstr>
  </property>
  <property fmtid="{D5CDD505-2E9C-101B-9397-08002B2CF9AE}" pid="13" name="MSIP_Label_ea60d57e-af5b-4752-ac57-3e4f28ca11dc_SiteId">
    <vt:lpwstr>36da45f1-dd2c-4d1f-af13-5abe46b99921</vt:lpwstr>
  </property>
  <property fmtid="{D5CDD505-2E9C-101B-9397-08002B2CF9AE}" pid="14" name="MSIP_Label_ea60d57e-af5b-4752-ac57-3e4f28ca11dc_ActionId">
    <vt:lpwstr>0a8b9065-d902-4b0c-8795-9ad4274d165e</vt:lpwstr>
  </property>
  <property fmtid="{D5CDD505-2E9C-101B-9397-08002B2CF9AE}" pid="15" name="MSIP_Label_ea60d57e-af5b-4752-ac57-3e4f28ca11dc_ContentBits">
    <vt:lpwstr>0</vt:lpwstr>
  </property>
  <property fmtid="{D5CDD505-2E9C-101B-9397-08002B2CF9AE}" pid="16" name="ClassificationContentMarkingFooterShapeIds">
    <vt:lpwstr>156f6193,28357f5b,1e167c0e</vt:lpwstr>
  </property>
  <property fmtid="{D5CDD505-2E9C-101B-9397-08002B2CF9AE}" pid="17" name="ClassificationContentMarkingFooterFontProps">
    <vt:lpwstr>#000000,8,Calibri</vt:lpwstr>
  </property>
  <property fmtid="{D5CDD505-2E9C-101B-9397-08002B2CF9AE}" pid="18" name="ClassificationContentMarkingFooterText">
    <vt:lpwstr>Cisco Confidential</vt:lpwstr>
  </property>
  <property fmtid="{D5CDD505-2E9C-101B-9397-08002B2CF9AE}" pid="19" name="MSIP_Label_c8f49a32-fde3-48a5-9266-b5b0972a22dc_Enabled">
    <vt:lpwstr>true</vt:lpwstr>
  </property>
  <property fmtid="{D5CDD505-2E9C-101B-9397-08002B2CF9AE}" pid="20" name="MSIP_Label_c8f49a32-fde3-48a5-9266-b5b0972a22dc_SetDate">
    <vt:lpwstr>2024-08-13T21:25:39Z</vt:lpwstr>
  </property>
  <property fmtid="{D5CDD505-2E9C-101B-9397-08002B2CF9AE}" pid="21" name="MSIP_Label_c8f49a32-fde3-48a5-9266-b5b0972a22dc_Method">
    <vt:lpwstr>Standard</vt:lpwstr>
  </property>
  <property fmtid="{D5CDD505-2E9C-101B-9397-08002B2CF9AE}" pid="22" name="MSIP_Label_c8f49a32-fde3-48a5-9266-b5b0972a22dc_Name">
    <vt:lpwstr>Cisco Confidential</vt:lpwstr>
  </property>
  <property fmtid="{D5CDD505-2E9C-101B-9397-08002B2CF9AE}" pid="23" name="MSIP_Label_c8f49a32-fde3-48a5-9266-b5b0972a22dc_SiteId">
    <vt:lpwstr>5ae1af62-9505-4097-a69a-c1553ef7840e</vt:lpwstr>
  </property>
  <property fmtid="{D5CDD505-2E9C-101B-9397-08002B2CF9AE}" pid="24" name="MSIP_Label_c8f49a32-fde3-48a5-9266-b5b0972a22dc_ActionId">
    <vt:lpwstr>469fb40a-bc86-465e-b3dc-c753065e7ab6</vt:lpwstr>
  </property>
  <property fmtid="{D5CDD505-2E9C-101B-9397-08002B2CF9AE}" pid="25" name="MSIP_Label_c8f49a32-fde3-48a5-9266-b5b0972a22dc_ContentBits">
    <vt:lpwstr>2</vt:lpwstr>
  </property>
</Properties>
</file>